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995" w:rsidRDefault="00676995"/>
    <w:p w:rsidR="00E435F8" w:rsidRDefault="00E435F8" w:rsidP="00BF5DC7">
      <w:r w:rsidRPr="00E435F8">
        <w:t xml:space="preserve">This is </w:t>
      </w:r>
      <w:r>
        <w:t xml:space="preserve">Invictus Alternative Provision – Greenhill and Revives </w:t>
      </w:r>
      <w:r w:rsidRPr="00E435F8">
        <w:t>information report for academic year 202</w:t>
      </w:r>
      <w:r>
        <w:t>2</w:t>
      </w:r>
      <w:r w:rsidRPr="00E435F8">
        <w:t>-202</w:t>
      </w:r>
      <w:r>
        <w:t>3</w:t>
      </w:r>
      <w:r w:rsidRPr="00E435F8">
        <w:t xml:space="preserve">. This report details what we offer for your child with special educational needs and/or disabilities (SEND) in our </w:t>
      </w:r>
      <w:r>
        <w:t>provision.</w:t>
      </w:r>
    </w:p>
    <w:p w:rsidR="00BF5DC7" w:rsidRDefault="00BF5DC7" w:rsidP="00BF5DC7">
      <w:r>
        <w:t>Invictus Alternative Provision currently has two sites Greenhill located in Halesowen and Revive located in Dudley</w:t>
      </w:r>
      <w:r w:rsidR="00E435F8">
        <w:t>.</w:t>
      </w:r>
      <w:r>
        <w:t xml:space="preserve"> </w:t>
      </w:r>
      <w:r w:rsidR="00E435F8">
        <w:t>The aim of the alternative provisions</w:t>
      </w:r>
      <w:r>
        <w:t xml:space="preserve"> </w:t>
      </w:r>
      <w:r w:rsidR="00E435F8">
        <w:t xml:space="preserve">is to offer an </w:t>
      </w:r>
      <w:r>
        <w:t xml:space="preserve">educational </w:t>
      </w:r>
      <w:r w:rsidR="00E435F8">
        <w:t>establishment</w:t>
      </w:r>
      <w:r>
        <w:t xml:space="preserve"> for students who are unable to access full-time mainstream education for a number of reasons, or who are unsuited to the mainstream provision on offer.</w:t>
      </w:r>
    </w:p>
    <w:p w:rsidR="00E435F8" w:rsidRDefault="00E435F8" w:rsidP="00E435F8">
      <w:r>
        <w:t xml:space="preserve">All students at </w:t>
      </w:r>
      <w:r w:rsidR="00453CB1">
        <w:t>both</w:t>
      </w:r>
      <w:r>
        <w:t xml:space="preserve"> provision</w:t>
      </w:r>
      <w:r w:rsidR="00453CB1">
        <w:t>s</w:t>
      </w:r>
      <w:r>
        <w:t xml:space="preserve"> receive support through quality first teaching and a differentiated curriculum that seeks to stretch and challenge</w:t>
      </w:r>
      <w:r w:rsidR="00453CB1">
        <w:t>,</w:t>
      </w:r>
      <w:r>
        <w:t xml:space="preserve"> so all students have the opportunity to reach their full potential. This is achieved through all the staff at the </w:t>
      </w:r>
      <w:r w:rsidR="00453CB1">
        <w:t>provisions</w:t>
      </w:r>
      <w:r>
        <w:t xml:space="preserve"> having high expectation of all of the students, promoting an inclusive environment and making reasonable adjustment as and where needed to support SEND students.</w:t>
      </w:r>
    </w:p>
    <w:p w:rsidR="00BF5DC7" w:rsidRDefault="00E435F8" w:rsidP="00BF5DC7">
      <w:r>
        <w:t>We understand</w:t>
      </w:r>
      <w:r w:rsidR="00BF5DC7">
        <w:t xml:space="preserve"> that there is a need to ensure that our curriculum is inclusive and accessible, providing the opportunities to succeed. Moreover, we recognise the need to offer the type of provision that allows students to achieve their potential.</w:t>
      </w:r>
    </w:p>
    <w:p w:rsidR="00E435F8" w:rsidRDefault="00BF5DC7" w:rsidP="00E435F8">
      <w:r>
        <w:t>“Every child deserves an excellent education and the chance to fulfil their potential whatever their background and needs. Children in alternative provision deserve these opportunities too.” (Creating opportunity for all, DfE, 2018)</w:t>
      </w:r>
    </w:p>
    <w:p w:rsidR="00453CB1" w:rsidRPr="00453CB1" w:rsidRDefault="00453CB1" w:rsidP="00E435F8">
      <w:pPr>
        <w:rPr>
          <w:u w:val="single"/>
        </w:rPr>
      </w:pPr>
      <w:r w:rsidRPr="00453CB1">
        <w:rPr>
          <w:u w:val="single"/>
        </w:rPr>
        <w:t>Referrals</w:t>
      </w:r>
      <w:r w:rsidR="006D6660">
        <w:rPr>
          <w:u w:val="single"/>
        </w:rPr>
        <w:t xml:space="preserve"> to Alternative Provision. </w:t>
      </w:r>
      <w:r w:rsidRPr="00453CB1">
        <w:rPr>
          <w:u w:val="single"/>
        </w:rPr>
        <w:t xml:space="preserve"> </w:t>
      </w:r>
    </w:p>
    <w:p w:rsidR="00E435F8" w:rsidRDefault="00E435F8" w:rsidP="00E435F8">
      <w:r>
        <w:t>There are a variety of reasons why a student is referred to an alternative provision. Some of these may be;</w:t>
      </w:r>
    </w:p>
    <w:p w:rsidR="00E435F8" w:rsidRDefault="00E435F8" w:rsidP="00664D6E">
      <w:pPr>
        <w:pStyle w:val="ListParagraph"/>
        <w:numPr>
          <w:ilvl w:val="0"/>
          <w:numId w:val="8"/>
        </w:numPr>
        <w:spacing w:after="0"/>
      </w:pPr>
      <w:r>
        <w:t>A serious behavioural event that would normally result in an extended exclusion or permanent exclusion.</w:t>
      </w:r>
    </w:p>
    <w:p w:rsidR="00E435F8" w:rsidRDefault="00E435F8" w:rsidP="00664D6E">
      <w:pPr>
        <w:pStyle w:val="ListParagraph"/>
        <w:numPr>
          <w:ilvl w:val="0"/>
          <w:numId w:val="8"/>
        </w:numPr>
        <w:spacing w:after="0"/>
      </w:pPr>
      <w:r>
        <w:t>Continued poor behaviour that fails to meet our standards and that has not improved with the supportive pastoral process put in place.</w:t>
      </w:r>
    </w:p>
    <w:p w:rsidR="00E435F8" w:rsidRDefault="00E435F8" w:rsidP="00664D6E">
      <w:pPr>
        <w:pStyle w:val="ListParagraph"/>
        <w:numPr>
          <w:ilvl w:val="0"/>
          <w:numId w:val="8"/>
        </w:numPr>
        <w:spacing w:after="0"/>
      </w:pPr>
      <w:r>
        <w:t>Students needs are not being met through the mainstream curriculum on offer. The emphasis on smaller classes and engagement may be more suitable to some students.</w:t>
      </w:r>
    </w:p>
    <w:p w:rsidR="00E435F8" w:rsidRDefault="00E435F8" w:rsidP="00664D6E">
      <w:pPr>
        <w:pStyle w:val="ListParagraph"/>
        <w:numPr>
          <w:ilvl w:val="0"/>
          <w:numId w:val="8"/>
        </w:numPr>
        <w:spacing w:after="0"/>
      </w:pPr>
      <w:r>
        <w:t>A student may not be attending regularly and is at risk of becoming NEET. An alternative provision may provide a greater opportunity to progress to a suitable post-16 pathway.</w:t>
      </w:r>
    </w:p>
    <w:p w:rsidR="00E435F8" w:rsidRDefault="00E435F8" w:rsidP="00664D6E">
      <w:pPr>
        <w:pStyle w:val="ListParagraph"/>
        <w:numPr>
          <w:ilvl w:val="0"/>
          <w:numId w:val="8"/>
        </w:numPr>
        <w:spacing w:after="0"/>
      </w:pPr>
      <w:r>
        <w:t>An unidentified or emerging need may result in a student needing additional support in a supportive learning environment. This may result in a student being placed on the SEND register of need as a K student.</w:t>
      </w:r>
    </w:p>
    <w:p w:rsidR="00E435F8" w:rsidRDefault="00E435F8" w:rsidP="00664D6E">
      <w:pPr>
        <w:pStyle w:val="ListParagraph"/>
        <w:numPr>
          <w:ilvl w:val="0"/>
          <w:numId w:val="8"/>
        </w:numPr>
        <w:spacing w:after="0"/>
      </w:pPr>
      <w:r>
        <w:t>Students who have a diagnosed health issue (mental health and physical) may need to be supported to access a mainstream curriculum.</w:t>
      </w:r>
    </w:p>
    <w:p w:rsidR="00453CB1" w:rsidRDefault="00453CB1" w:rsidP="00E435F8">
      <w:pPr>
        <w:spacing w:after="0"/>
      </w:pPr>
    </w:p>
    <w:p w:rsidR="00453CB1" w:rsidRPr="00453CB1" w:rsidRDefault="00453CB1" w:rsidP="00453CB1">
      <w:pPr>
        <w:spacing w:after="0"/>
        <w:rPr>
          <w:u w:val="single"/>
        </w:rPr>
      </w:pPr>
      <w:r w:rsidRPr="00453CB1">
        <w:rPr>
          <w:u w:val="single"/>
        </w:rPr>
        <w:t>Person-centred collaboration: working with SEND learners at the alternative provision.</w:t>
      </w:r>
    </w:p>
    <w:p w:rsidR="00453CB1" w:rsidRDefault="00453CB1" w:rsidP="00453CB1">
      <w:pPr>
        <w:spacing w:after="0"/>
      </w:pPr>
      <w:r>
        <w:t xml:space="preserve"> </w:t>
      </w:r>
    </w:p>
    <w:p w:rsidR="00453CB1" w:rsidRDefault="00453CB1" w:rsidP="00453CB1">
      <w:pPr>
        <w:spacing w:after="0"/>
      </w:pPr>
      <w:r>
        <w:t xml:space="preserve">A student may be considered as having special education needs and/or disabilities (SEND) when they require significant additional support to participate in school. If a student has been identified as having a SEND, parents/carers and the student will be consulted and involved in arrangements for additional support through an individual learning plan, which will outline to staff the necessary adjustments, helping them to meet the respective learning needs of the students, as its contents </w:t>
      </w:r>
      <w:r>
        <w:lastRenderedPageBreak/>
        <w:t xml:space="preserve">inform their teaching practices. This may include adjustment to their learning environment such as seating plans, lighting, and noise reduction, colour settings on the interactive whiteboards, coloured exercise books and overlays. The </w:t>
      </w:r>
      <w:proofErr w:type="spellStart"/>
      <w:r>
        <w:t>SENCo</w:t>
      </w:r>
      <w:proofErr w:type="spellEnd"/>
      <w:r>
        <w:t xml:space="preserve"> will hold regular meetings with the student and parents/carers in order to collect information and where necessary alter the learning plan to meet the learning needs of the student as they progress and become more resilient. Greenhill and Revive Alternative Provision provides learners with all category codes of SEND, as outlined in the SEND code of practice (DfE, 2014). </w:t>
      </w:r>
    </w:p>
    <w:p w:rsidR="00453CB1" w:rsidRDefault="00453CB1" w:rsidP="00453CB1">
      <w:pPr>
        <w:spacing w:after="0"/>
      </w:pPr>
    </w:p>
    <w:p w:rsidR="00453CB1" w:rsidRDefault="00453CB1" w:rsidP="00453CB1">
      <w:pPr>
        <w:spacing w:after="0"/>
        <w:rPr>
          <w:u w:val="single"/>
        </w:rPr>
      </w:pPr>
      <w:r w:rsidRPr="00453CB1">
        <w:rPr>
          <w:u w:val="single"/>
        </w:rPr>
        <w:t>Legislation</w:t>
      </w:r>
    </w:p>
    <w:p w:rsidR="00453CB1" w:rsidRPr="00453CB1" w:rsidRDefault="00453CB1" w:rsidP="00453CB1">
      <w:pPr>
        <w:spacing w:after="0"/>
        <w:rPr>
          <w:u w:val="single"/>
        </w:rPr>
      </w:pPr>
    </w:p>
    <w:p w:rsidR="00453CB1" w:rsidRDefault="00453CB1" w:rsidP="00453CB1">
      <w:pPr>
        <w:spacing w:after="0"/>
      </w:pPr>
      <w:r>
        <w:t>SEND Code of Practice, 2014 4.32 ‘information about approaches to teaching, adaptations to the curriculum and the learning environment for children and young people with SEND should be shared with all staff’</w:t>
      </w:r>
    </w:p>
    <w:p w:rsidR="00453CB1" w:rsidRDefault="00453CB1" w:rsidP="00453CB1">
      <w:pPr>
        <w:spacing w:after="0"/>
      </w:pPr>
      <w:r>
        <w:t>SEND Code of Practice, 2014 5b ‘Schools should adapt the curriculum and the learning environment for children and young people with SEND.</w:t>
      </w:r>
    </w:p>
    <w:p w:rsidR="00E435F8" w:rsidRDefault="00E435F8" w:rsidP="00E435F8">
      <w:pPr>
        <w:spacing w:after="0"/>
      </w:pPr>
    </w:p>
    <w:p w:rsidR="00426D88" w:rsidRDefault="00426D88" w:rsidP="00426D88">
      <w:pPr>
        <w:spacing w:after="0"/>
        <w:rPr>
          <w:u w:val="single"/>
        </w:rPr>
      </w:pPr>
      <w:r w:rsidRPr="00426D88">
        <w:rPr>
          <w:u w:val="single"/>
        </w:rPr>
        <w:t xml:space="preserve">Identification of SEND. </w:t>
      </w:r>
    </w:p>
    <w:p w:rsidR="00426D88" w:rsidRPr="00426D88" w:rsidRDefault="00426D88" w:rsidP="00426D88">
      <w:pPr>
        <w:spacing w:after="0"/>
        <w:rPr>
          <w:u w:val="single"/>
        </w:rPr>
      </w:pPr>
    </w:p>
    <w:p w:rsidR="00426D88" w:rsidRDefault="00426D88" w:rsidP="00426D88">
      <w:pPr>
        <w:spacing w:after="0"/>
      </w:pPr>
      <w:r>
        <w:t xml:space="preserve">The systems in place for identifying and assessing SEND learners at Greenhill and Revive are robust, collaborative and effective. Please note a student will not be identified as having any forms of SEND without notifying parents/carers and the student. The </w:t>
      </w:r>
      <w:proofErr w:type="spellStart"/>
      <w:r>
        <w:t>SENCo</w:t>
      </w:r>
      <w:proofErr w:type="spellEnd"/>
      <w:r>
        <w:t xml:space="preserve"> can assess and identify the need(s) for additional support and SEND traits and make referrals to relevant agencies if needed, however the </w:t>
      </w:r>
      <w:proofErr w:type="spellStart"/>
      <w:r>
        <w:t>SENCo</w:t>
      </w:r>
      <w:proofErr w:type="spellEnd"/>
      <w:r>
        <w:t xml:space="preserve"> cannot make any medical diagnosis. Diagnosis can only be officially made through a medical route.  </w:t>
      </w:r>
    </w:p>
    <w:p w:rsidR="00426D88" w:rsidRDefault="00426D88" w:rsidP="00426D88">
      <w:pPr>
        <w:spacing w:after="0"/>
      </w:pPr>
    </w:p>
    <w:p w:rsidR="006D6660" w:rsidRPr="006D6660" w:rsidRDefault="006D6660" w:rsidP="00426D88">
      <w:pPr>
        <w:spacing w:after="0"/>
        <w:rPr>
          <w:u w:val="single"/>
        </w:rPr>
      </w:pPr>
      <w:r w:rsidRPr="006D6660">
        <w:rPr>
          <w:u w:val="single"/>
        </w:rPr>
        <w:t xml:space="preserve">Referrals </w:t>
      </w:r>
      <w:r>
        <w:rPr>
          <w:u w:val="single"/>
        </w:rPr>
        <w:t xml:space="preserve">to </w:t>
      </w:r>
      <w:proofErr w:type="spellStart"/>
      <w:r>
        <w:rPr>
          <w:u w:val="single"/>
        </w:rPr>
        <w:t>SENCo</w:t>
      </w:r>
      <w:proofErr w:type="spellEnd"/>
    </w:p>
    <w:p w:rsidR="006D6660" w:rsidRDefault="006D6660" w:rsidP="00426D88">
      <w:pPr>
        <w:spacing w:after="0"/>
      </w:pPr>
    </w:p>
    <w:p w:rsidR="00426D88" w:rsidRDefault="00426D88" w:rsidP="00426D88">
      <w:pPr>
        <w:spacing w:after="0"/>
      </w:pPr>
      <w:r>
        <w:t xml:space="preserve">A student can be </w:t>
      </w:r>
      <w:r w:rsidR="00664D6E">
        <w:t xml:space="preserve">referred to the </w:t>
      </w:r>
      <w:proofErr w:type="spellStart"/>
      <w:r w:rsidR="00664D6E">
        <w:t>SENCo</w:t>
      </w:r>
      <w:proofErr w:type="spellEnd"/>
      <w:r w:rsidR="00664D6E">
        <w:t xml:space="preserve"> through</w:t>
      </w:r>
      <w:r>
        <w:t xml:space="preserve">: </w:t>
      </w:r>
    </w:p>
    <w:p w:rsidR="00426D88" w:rsidRDefault="00426D88" w:rsidP="00426D88">
      <w:pPr>
        <w:spacing w:after="0"/>
      </w:pPr>
    </w:p>
    <w:p w:rsidR="00664D6E" w:rsidRDefault="00426D88" w:rsidP="00664D6E">
      <w:pPr>
        <w:pStyle w:val="ListParagraph"/>
        <w:numPr>
          <w:ilvl w:val="0"/>
          <w:numId w:val="5"/>
        </w:numPr>
        <w:spacing w:after="0"/>
        <w:jc w:val="both"/>
      </w:pPr>
      <w:r>
        <w:t>Parental/carers concern – a meeting will be held once internal evidence-gathering has taken place in order to share finding and talk through next steps in the process</w:t>
      </w:r>
      <w:r w:rsidR="00664D6E">
        <w:t>.</w:t>
      </w:r>
    </w:p>
    <w:p w:rsidR="00426D88" w:rsidRDefault="00426D88" w:rsidP="00664D6E">
      <w:pPr>
        <w:pStyle w:val="ListParagraph"/>
        <w:numPr>
          <w:ilvl w:val="0"/>
          <w:numId w:val="5"/>
        </w:numPr>
        <w:spacing w:after="0"/>
        <w:jc w:val="both"/>
      </w:pPr>
      <w:r>
        <w:t>Student concern – a meeting will be held with the student.</w:t>
      </w:r>
    </w:p>
    <w:p w:rsidR="00426D88" w:rsidRDefault="00426D88" w:rsidP="00664D6E">
      <w:pPr>
        <w:pStyle w:val="ListParagraph"/>
        <w:numPr>
          <w:ilvl w:val="0"/>
          <w:numId w:val="5"/>
        </w:numPr>
        <w:spacing w:after="0"/>
        <w:jc w:val="both"/>
      </w:pPr>
      <w:r>
        <w:t xml:space="preserve">Staff concern – staff will complete a referral to the </w:t>
      </w:r>
      <w:proofErr w:type="spellStart"/>
      <w:r>
        <w:t>SENCo</w:t>
      </w:r>
      <w:proofErr w:type="spellEnd"/>
      <w:r>
        <w:t>.</w:t>
      </w:r>
    </w:p>
    <w:p w:rsidR="00426D88" w:rsidRDefault="00426D88" w:rsidP="00664D6E">
      <w:pPr>
        <w:pStyle w:val="ListParagraph"/>
        <w:numPr>
          <w:ilvl w:val="0"/>
          <w:numId w:val="5"/>
        </w:numPr>
        <w:spacing w:after="0"/>
        <w:jc w:val="both"/>
      </w:pPr>
      <w:r>
        <w:t xml:space="preserve">External agents – professional practitioners can contact the </w:t>
      </w:r>
      <w:proofErr w:type="spellStart"/>
      <w:r>
        <w:t>SENCo</w:t>
      </w:r>
      <w:proofErr w:type="spellEnd"/>
      <w:r>
        <w:t xml:space="preserve"> to express concerns.</w:t>
      </w:r>
    </w:p>
    <w:p w:rsidR="00426D88" w:rsidRDefault="00426D88" w:rsidP="00664D6E">
      <w:pPr>
        <w:pStyle w:val="ListParagraph"/>
        <w:numPr>
          <w:ilvl w:val="0"/>
          <w:numId w:val="5"/>
        </w:numPr>
        <w:spacing w:after="0"/>
        <w:jc w:val="both"/>
      </w:pPr>
      <w:r>
        <w:t>Previous school – either from transition or moving school.</w:t>
      </w:r>
    </w:p>
    <w:p w:rsidR="00426D88" w:rsidRDefault="00426D88" w:rsidP="00664D6E">
      <w:pPr>
        <w:pStyle w:val="ListParagraph"/>
        <w:numPr>
          <w:ilvl w:val="0"/>
          <w:numId w:val="5"/>
        </w:numPr>
        <w:spacing w:after="0"/>
        <w:jc w:val="both"/>
      </w:pPr>
      <w:r>
        <w:t>Local Authority – the Local Authority can contact the school to express concerns.</w:t>
      </w:r>
    </w:p>
    <w:p w:rsidR="00664D6E" w:rsidRDefault="00664D6E" w:rsidP="00664D6E">
      <w:pPr>
        <w:spacing w:after="0"/>
        <w:jc w:val="both"/>
      </w:pPr>
    </w:p>
    <w:p w:rsidR="00426D88" w:rsidRDefault="00426D88" w:rsidP="003C13F4">
      <w:pPr>
        <w:spacing w:after="0"/>
        <w:jc w:val="both"/>
      </w:pPr>
      <w:r>
        <w:t>Methods used to gather evidence include:</w:t>
      </w:r>
    </w:p>
    <w:p w:rsidR="003C13F4" w:rsidRDefault="003C13F4" w:rsidP="003C13F4">
      <w:pPr>
        <w:spacing w:after="0"/>
        <w:jc w:val="both"/>
      </w:pPr>
    </w:p>
    <w:p w:rsidR="00426D88" w:rsidRDefault="00426D88" w:rsidP="00664D6E">
      <w:pPr>
        <w:pStyle w:val="ListParagraph"/>
        <w:numPr>
          <w:ilvl w:val="0"/>
          <w:numId w:val="5"/>
        </w:numPr>
        <w:spacing w:after="0"/>
        <w:jc w:val="both"/>
      </w:pPr>
      <w:r>
        <w:t>Observations, formal and informal, these can be in class and in social times.</w:t>
      </w:r>
    </w:p>
    <w:p w:rsidR="00426D88" w:rsidRDefault="00426D88" w:rsidP="00664D6E">
      <w:pPr>
        <w:pStyle w:val="ListParagraph"/>
        <w:numPr>
          <w:ilvl w:val="0"/>
          <w:numId w:val="5"/>
        </w:numPr>
        <w:spacing w:after="0"/>
        <w:jc w:val="both"/>
      </w:pPr>
      <w:r>
        <w:t>Data gathering from assessments, grades and targets.</w:t>
      </w:r>
    </w:p>
    <w:p w:rsidR="00426D88" w:rsidRDefault="00426D88" w:rsidP="00664D6E">
      <w:pPr>
        <w:pStyle w:val="ListParagraph"/>
        <w:numPr>
          <w:ilvl w:val="0"/>
          <w:numId w:val="5"/>
        </w:numPr>
        <w:spacing w:after="0"/>
        <w:jc w:val="both"/>
      </w:pPr>
      <w:r>
        <w:t>Staff, parent/carers and student voice to obtain what they feel the struggles are, or concerns.</w:t>
      </w:r>
    </w:p>
    <w:p w:rsidR="00426D88" w:rsidRDefault="00426D88" w:rsidP="00664D6E">
      <w:pPr>
        <w:pStyle w:val="ListParagraph"/>
        <w:numPr>
          <w:ilvl w:val="0"/>
          <w:numId w:val="5"/>
        </w:numPr>
        <w:spacing w:after="0"/>
        <w:jc w:val="both"/>
      </w:pPr>
      <w:r>
        <w:t>Intervention programs.</w:t>
      </w:r>
    </w:p>
    <w:p w:rsidR="00426D88" w:rsidRDefault="00426D88" w:rsidP="00664D6E">
      <w:pPr>
        <w:pStyle w:val="ListParagraph"/>
        <w:numPr>
          <w:ilvl w:val="0"/>
          <w:numId w:val="5"/>
        </w:numPr>
        <w:spacing w:after="0"/>
        <w:jc w:val="both"/>
      </w:pPr>
      <w:r>
        <w:t>Skill-specific assessments.</w:t>
      </w:r>
    </w:p>
    <w:p w:rsidR="003C13F4" w:rsidRDefault="003C13F4" w:rsidP="003C13F4">
      <w:pPr>
        <w:spacing w:after="0"/>
        <w:ind w:left="360"/>
        <w:jc w:val="both"/>
      </w:pPr>
    </w:p>
    <w:p w:rsidR="003C13F4" w:rsidRDefault="003C13F4" w:rsidP="003C13F4">
      <w:pPr>
        <w:spacing w:after="0"/>
        <w:ind w:left="360"/>
        <w:jc w:val="both"/>
      </w:pPr>
    </w:p>
    <w:p w:rsidR="00664D6E" w:rsidRDefault="00664D6E" w:rsidP="00426D88">
      <w:pPr>
        <w:spacing w:after="0"/>
      </w:pPr>
    </w:p>
    <w:p w:rsidR="00426D88" w:rsidRPr="00664D6E" w:rsidRDefault="00426D88" w:rsidP="00426D88">
      <w:pPr>
        <w:spacing w:after="0"/>
        <w:rPr>
          <w:u w:val="single"/>
        </w:rPr>
      </w:pPr>
      <w:r w:rsidRPr="00664D6E">
        <w:rPr>
          <w:u w:val="single"/>
        </w:rPr>
        <w:lastRenderedPageBreak/>
        <w:t xml:space="preserve">Legislation </w:t>
      </w:r>
    </w:p>
    <w:p w:rsidR="00426D88" w:rsidRDefault="00426D88" w:rsidP="00426D88">
      <w:pPr>
        <w:spacing w:after="0"/>
      </w:pPr>
      <w:r>
        <w:t>SEND Code of Practice, 2014 4.32 ‘Providers should arrangements in place for identifying the SEN of children and young people’</w:t>
      </w:r>
      <w:r w:rsidR="006D6660">
        <w:t>.</w:t>
      </w:r>
    </w:p>
    <w:p w:rsidR="006D6660" w:rsidRDefault="006D6660" w:rsidP="00426D88">
      <w:pPr>
        <w:spacing w:after="0"/>
      </w:pPr>
    </w:p>
    <w:p w:rsidR="00E435F8" w:rsidRDefault="00426D88" w:rsidP="00426D88">
      <w:pPr>
        <w:spacing w:after="0"/>
      </w:pPr>
      <w:r>
        <w:t>SEND Code of Practice, 2014 4.35 ‘The school specific information should relate to the schools’ arrangements for providing a graduated response to children’s’ SEND’.</w:t>
      </w:r>
    </w:p>
    <w:p w:rsidR="006D6660" w:rsidRDefault="006D6660" w:rsidP="00426D88">
      <w:pPr>
        <w:spacing w:after="0"/>
      </w:pPr>
    </w:p>
    <w:p w:rsidR="006D6660" w:rsidRDefault="006D6660" w:rsidP="00426D88">
      <w:pPr>
        <w:spacing w:after="0"/>
        <w:rPr>
          <w:u w:val="single"/>
        </w:rPr>
      </w:pPr>
      <w:r w:rsidRPr="006D6660">
        <w:rPr>
          <w:u w:val="single"/>
        </w:rPr>
        <w:t>Assessment and Observation</w:t>
      </w:r>
    </w:p>
    <w:p w:rsidR="006D6660" w:rsidRDefault="006D6660" w:rsidP="00426D88">
      <w:pPr>
        <w:spacing w:after="0"/>
        <w:rPr>
          <w:u w:val="single"/>
        </w:rPr>
      </w:pPr>
    </w:p>
    <w:p w:rsidR="00384AC9" w:rsidRPr="00384AC9" w:rsidRDefault="00384AC9" w:rsidP="00426D88">
      <w:pPr>
        <w:spacing w:after="0"/>
      </w:pPr>
      <w:r w:rsidRPr="00384AC9">
        <w:t>Once</w:t>
      </w:r>
      <w:r>
        <w:t xml:space="preserve"> a referral has been made the </w:t>
      </w:r>
      <w:proofErr w:type="spellStart"/>
      <w:r>
        <w:t>SENCo</w:t>
      </w:r>
      <w:proofErr w:type="spellEnd"/>
      <w:r>
        <w:t xml:space="preserve"> will then start the graduated process, this will include speaking to the person who made the initial referral to ascertain what they consider to be the reason for the referral. Data will be gathered from each subject and staff and a sample of the students’ work will be collected. Observation of the student will then start and will continue over several weeks so the student can be observed in different classes and social situation and with different staff members. It will then be decided if the referral will need to continue and the student, parents/careers will be contacted and a meeting arranged to discuss the referral and the referral process</w:t>
      </w:r>
      <w:r w:rsidR="00C8566A">
        <w:t xml:space="preserve">. If all parties </w:t>
      </w:r>
      <w:r w:rsidR="00D0332A">
        <w:t>agree</w:t>
      </w:r>
      <w:r w:rsidR="00C8566A">
        <w:t xml:space="preserve"> then an Individual Learning Plan will be created by the </w:t>
      </w:r>
      <w:proofErr w:type="spellStart"/>
      <w:r w:rsidR="00C8566A">
        <w:t>SENCo</w:t>
      </w:r>
      <w:proofErr w:type="spellEnd"/>
      <w:r w:rsidR="00C8566A">
        <w:t xml:space="preserve"> and shared with staff and any outside agencies with be notified if outside agencies involvement is needed. </w:t>
      </w:r>
    </w:p>
    <w:p w:rsidR="006D6660" w:rsidRPr="006D6660" w:rsidRDefault="006D6660" w:rsidP="00426D88">
      <w:pPr>
        <w:spacing w:after="0"/>
      </w:pPr>
    </w:p>
    <w:p w:rsidR="00664D6E" w:rsidRDefault="00664D6E" w:rsidP="00426D88">
      <w:pPr>
        <w:spacing w:after="0"/>
      </w:pPr>
    </w:p>
    <w:p w:rsidR="00664D6E" w:rsidRPr="00664D6E" w:rsidRDefault="006D6660" w:rsidP="00664D6E">
      <w:pPr>
        <w:spacing w:after="0"/>
        <w:rPr>
          <w:u w:val="single"/>
        </w:rPr>
      </w:pPr>
      <w:r>
        <w:rPr>
          <w:u w:val="single"/>
        </w:rPr>
        <w:t>Quality first teaching</w:t>
      </w:r>
      <w:r w:rsidR="00664D6E" w:rsidRPr="00664D6E">
        <w:rPr>
          <w:u w:val="single"/>
        </w:rPr>
        <w:t xml:space="preserve"> for SEND learners</w:t>
      </w:r>
    </w:p>
    <w:p w:rsidR="00664D6E" w:rsidRDefault="00664D6E" w:rsidP="00664D6E">
      <w:pPr>
        <w:spacing w:after="0"/>
      </w:pPr>
      <w:r>
        <w:t xml:space="preserve"> </w:t>
      </w:r>
    </w:p>
    <w:p w:rsidR="00664D6E" w:rsidRDefault="00664D6E" w:rsidP="00664D6E">
      <w:pPr>
        <w:pStyle w:val="ListParagraph"/>
        <w:numPr>
          <w:ilvl w:val="0"/>
          <w:numId w:val="3"/>
        </w:numPr>
        <w:spacing w:after="0"/>
      </w:pPr>
      <w:r>
        <w:t>All students are assessed regular</w:t>
      </w:r>
      <w:r w:rsidR="006D6660">
        <w:t>ly</w:t>
      </w:r>
      <w:r>
        <w:t xml:space="preserve"> by the class teacher as part of the curriculum, the data from these assessments is then analysed by teaching staff and mark against either the expected progress or end of term/year targets. If a student is significantly below </w:t>
      </w:r>
      <w:r w:rsidR="006D6660">
        <w:t>their</w:t>
      </w:r>
      <w:r>
        <w:t xml:space="preserve"> expected target</w:t>
      </w:r>
      <w:r w:rsidR="006D6660">
        <w:t>,</w:t>
      </w:r>
      <w:r>
        <w:t xml:space="preserve"> the class teacher will advise the </w:t>
      </w:r>
      <w:proofErr w:type="spellStart"/>
      <w:r>
        <w:t>SENCo</w:t>
      </w:r>
      <w:proofErr w:type="spellEnd"/>
      <w:r>
        <w:t xml:space="preserve"> and seek guidance to support.</w:t>
      </w:r>
    </w:p>
    <w:p w:rsidR="00664D6E" w:rsidRDefault="00664D6E" w:rsidP="00664D6E">
      <w:pPr>
        <w:pStyle w:val="ListParagraph"/>
        <w:numPr>
          <w:ilvl w:val="0"/>
          <w:numId w:val="3"/>
        </w:numPr>
        <w:spacing w:after="0"/>
      </w:pPr>
      <w:r>
        <w:t xml:space="preserve">All staff meet every day to discuss the holistic progress of students. </w:t>
      </w:r>
    </w:p>
    <w:p w:rsidR="00664D6E" w:rsidRDefault="00664D6E" w:rsidP="00664D6E">
      <w:pPr>
        <w:pStyle w:val="ListParagraph"/>
        <w:numPr>
          <w:ilvl w:val="0"/>
          <w:numId w:val="3"/>
        </w:numPr>
        <w:spacing w:after="0"/>
      </w:pPr>
      <w:r>
        <w:t xml:space="preserve">Students’ parents/carers are contacted at least once per half-term to discuss progress. </w:t>
      </w:r>
    </w:p>
    <w:p w:rsidR="00664D6E" w:rsidRDefault="00664D6E" w:rsidP="00664D6E">
      <w:pPr>
        <w:pStyle w:val="ListParagraph"/>
        <w:numPr>
          <w:ilvl w:val="0"/>
          <w:numId w:val="3"/>
        </w:numPr>
        <w:spacing w:after="0"/>
      </w:pPr>
      <w:r>
        <w:t xml:space="preserve">Students’ have one to one </w:t>
      </w:r>
      <w:r w:rsidR="006D6660">
        <w:t>meeting</w:t>
      </w:r>
      <w:r>
        <w:t xml:space="preserve"> with the </w:t>
      </w:r>
      <w:proofErr w:type="spellStart"/>
      <w:r>
        <w:t>SENCo</w:t>
      </w:r>
      <w:proofErr w:type="spellEnd"/>
      <w:r>
        <w:t xml:space="preserve"> to discuss progress and </w:t>
      </w:r>
      <w:r w:rsidR="006D6660">
        <w:t xml:space="preserve">to review individual </w:t>
      </w:r>
      <w:r>
        <w:t xml:space="preserve">learning plan at least once per term. </w:t>
      </w:r>
    </w:p>
    <w:p w:rsidR="00664D6E" w:rsidRDefault="00664D6E" w:rsidP="00664D6E">
      <w:pPr>
        <w:pStyle w:val="ListParagraph"/>
        <w:numPr>
          <w:ilvl w:val="0"/>
          <w:numId w:val="3"/>
        </w:numPr>
        <w:spacing w:after="0"/>
      </w:pPr>
      <w:r>
        <w:t xml:space="preserve">All specific intervention programs are delivered in either small groups or on a one to one basis in line with the SEND Code of Practice, 2014, and in respective of the Assess-Plan-Do-Review cycle and in line with the schools graduated response. </w:t>
      </w:r>
    </w:p>
    <w:p w:rsidR="00664D6E" w:rsidRDefault="00664D6E" w:rsidP="00664D6E">
      <w:pPr>
        <w:pStyle w:val="ListParagraph"/>
        <w:numPr>
          <w:ilvl w:val="0"/>
          <w:numId w:val="3"/>
        </w:numPr>
        <w:spacing w:after="0"/>
      </w:pPr>
      <w:r>
        <w:t xml:space="preserve">All learning plans are shared with staff which outlines </w:t>
      </w:r>
      <w:r w:rsidR="00F42E92">
        <w:t>the students</w:t>
      </w:r>
      <w:r w:rsidR="006D6660">
        <w:t>’</w:t>
      </w:r>
      <w:r w:rsidR="00F42E92">
        <w:t xml:space="preserve"> need(s), background, targets and strategies for support.</w:t>
      </w:r>
      <w:r>
        <w:t xml:space="preserve"> </w:t>
      </w:r>
      <w:r w:rsidR="00F42E92">
        <w:tab/>
        <w:t xml:space="preserve">These </w:t>
      </w:r>
      <w:r>
        <w:t>strategies assist staff</w:t>
      </w:r>
      <w:r w:rsidR="00F42E92">
        <w:t xml:space="preserve"> to create and</w:t>
      </w:r>
      <w:r>
        <w:t xml:space="preserve"> deliver a </w:t>
      </w:r>
      <w:r w:rsidR="006D6660">
        <w:t xml:space="preserve">differentiated </w:t>
      </w:r>
      <w:r>
        <w:t>curriculum that support</w:t>
      </w:r>
      <w:r w:rsidR="00F42E92">
        <w:t>s the student</w:t>
      </w:r>
      <w:r>
        <w:t xml:space="preserve"> whilst maintaining high expectation of all</w:t>
      </w:r>
      <w:r w:rsidR="00F42E92">
        <w:t>.</w:t>
      </w:r>
    </w:p>
    <w:p w:rsidR="00664D6E" w:rsidRDefault="00F42E92" w:rsidP="00664D6E">
      <w:pPr>
        <w:pStyle w:val="ListParagraph"/>
        <w:numPr>
          <w:ilvl w:val="0"/>
          <w:numId w:val="3"/>
        </w:numPr>
        <w:spacing w:after="0"/>
      </w:pPr>
      <w:r>
        <w:t xml:space="preserve">Classroom staff, </w:t>
      </w:r>
      <w:proofErr w:type="spellStart"/>
      <w:r>
        <w:t>SENCo</w:t>
      </w:r>
      <w:proofErr w:type="spellEnd"/>
      <w:r>
        <w:t xml:space="preserve"> and leadership will m</w:t>
      </w:r>
      <w:r w:rsidR="00664D6E">
        <w:t xml:space="preserve">onitor the impact of support </w:t>
      </w:r>
      <w:r>
        <w:t xml:space="preserve">and will adjust practices or strategies where necessary. </w:t>
      </w:r>
    </w:p>
    <w:p w:rsidR="00664D6E" w:rsidRDefault="00664D6E" w:rsidP="00664D6E">
      <w:pPr>
        <w:pStyle w:val="ListParagraph"/>
        <w:numPr>
          <w:ilvl w:val="0"/>
          <w:numId w:val="3"/>
        </w:numPr>
        <w:spacing w:after="0"/>
      </w:pPr>
      <w:r>
        <w:t xml:space="preserve">The Senior Leadership Team (SLT) and </w:t>
      </w:r>
      <w:proofErr w:type="spellStart"/>
      <w:r>
        <w:t>SENCo</w:t>
      </w:r>
      <w:proofErr w:type="spellEnd"/>
      <w:r>
        <w:t xml:space="preserve"> regularly monitor the effectiveness and impact of SEND support through regular meetings, </w:t>
      </w:r>
      <w:r w:rsidR="00F42E92">
        <w:t xml:space="preserve">learning walks, </w:t>
      </w:r>
      <w:r>
        <w:t xml:space="preserve">data and book monitoring. </w:t>
      </w:r>
    </w:p>
    <w:p w:rsidR="00C8566A" w:rsidRDefault="00C8566A" w:rsidP="00C8566A">
      <w:pPr>
        <w:spacing w:after="0"/>
      </w:pPr>
    </w:p>
    <w:p w:rsidR="00C8566A" w:rsidRDefault="00C8566A" w:rsidP="00C8566A">
      <w:pPr>
        <w:spacing w:after="0"/>
      </w:pPr>
    </w:p>
    <w:p w:rsidR="00664D6E" w:rsidRDefault="00664D6E" w:rsidP="00664D6E">
      <w:pPr>
        <w:spacing w:after="0"/>
      </w:pPr>
    </w:p>
    <w:p w:rsidR="0027232B" w:rsidRDefault="0027232B" w:rsidP="00664D6E">
      <w:pPr>
        <w:spacing w:after="0"/>
      </w:pPr>
    </w:p>
    <w:p w:rsidR="00664D6E" w:rsidRPr="00C8566A" w:rsidRDefault="00664D6E" w:rsidP="00664D6E">
      <w:pPr>
        <w:spacing w:after="0"/>
        <w:rPr>
          <w:u w:val="single"/>
        </w:rPr>
      </w:pPr>
      <w:r w:rsidRPr="00C8566A">
        <w:rPr>
          <w:u w:val="single"/>
        </w:rPr>
        <w:lastRenderedPageBreak/>
        <w:t xml:space="preserve">Legislation </w:t>
      </w:r>
    </w:p>
    <w:p w:rsidR="00C8566A" w:rsidRDefault="00C8566A" w:rsidP="00664D6E">
      <w:pPr>
        <w:spacing w:after="0"/>
      </w:pPr>
    </w:p>
    <w:p w:rsidR="00664D6E" w:rsidRDefault="00664D6E" w:rsidP="00664D6E">
      <w:pPr>
        <w:spacing w:after="0"/>
      </w:pPr>
      <w:r>
        <w:t>SEND Code of Practice, 2014 5d ‘The progress towards any of the outcomes identified for children and young people with SEND will be assessed and reviewed, including information about how those children, their parents/carers will take part in any assessment and review’.</w:t>
      </w:r>
    </w:p>
    <w:p w:rsidR="00C8566A" w:rsidRDefault="00C8566A" w:rsidP="00664D6E">
      <w:pPr>
        <w:spacing w:after="0"/>
      </w:pPr>
    </w:p>
    <w:p w:rsidR="00D0332A" w:rsidRDefault="00D0332A" w:rsidP="00D0332A">
      <w:pPr>
        <w:spacing w:after="0"/>
        <w:rPr>
          <w:u w:val="single"/>
        </w:rPr>
      </w:pPr>
      <w:r w:rsidRPr="00D0332A">
        <w:rPr>
          <w:u w:val="single"/>
        </w:rPr>
        <w:t xml:space="preserve">Facilities and Staff. </w:t>
      </w:r>
    </w:p>
    <w:p w:rsidR="00D0332A" w:rsidRPr="00D0332A" w:rsidRDefault="00D0332A" w:rsidP="00D0332A">
      <w:pPr>
        <w:spacing w:after="0"/>
        <w:rPr>
          <w:u w:val="single"/>
        </w:rPr>
      </w:pPr>
    </w:p>
    <w:p w:rsidR="00D0332A" w:rsidRDefault="00D0332A" w:rsidP="00D0332A">
      <w:pPr>
        <w:spacing w:after="0"/>
      </w:pPr>
      <w:r>
        <w:t xml:space="preserve">Within both Greenhill and Revive there are a number of facilities to support SEND students. </w:t>
      </w:r>
    </w:p>
    <w:p w:rsidR="00D0332A" w:rsidRDefault="00D0332A" w:rsidP="00D0332A">
      <w:pPr>
        <w:spacing w:after="0"/>
      </w:pPr>
    </w:p>
    <w:p w:rsidR="00D0332A" w:rsidRDefault="00D0332A" w:rsidP="00D0332A">
      <w:pPr>
        <w:pStyle w:val="ListParagraph"/>
        <w:numPr>
          <w:ilvl w:val="0"/>
          <w:numId w:val="10"/>
        </w:numPr>
        <w:spacing w:after="0"/>
      </w:pPr>
      <w:r>
        <w:t xml:space="preserve">Alternative provision practitioners work with SEND students in class and social time throughout the day. </w:t>
      </w:r>
    </w:p>
    <w:p w:rsidR="00D0332A" w:rsidRDefault="00D0332A" w:rsidP="00D0332A">
      <w:pPr>
        <w:pStyle w:val="ListParagraph"/>
        <w:numPr>
          <w:ilvl w:val="0"/>
          <w:numId w:val="10"/>
        </w:numPr>
        <w:spacing w:after="0"/>
      </w:pPr>
      <w:r>
        <w:t>A meeting room for students, parent/carers to meet with staff and/or external professional agencies is available in both centres.</w:t>
      </w:r>
    </w:p>
    <w:p w:rsidR="00D0332A" w:rsidRDefault="00D0332A" w:rsidP="00D0332A">
      <w:pPr>
        <w:pStyle w:val="ListParagraph"/>
        <w:numPr>
          <w:ilvl w:val="0"/>
          <w:numId w:val="10"/>
        </w:numPr>
        <w:spacing w:after="0"/>
      </w:pPr>
      <w:r>
        <w:t xml:space="preserve">Disabled toilets, are available in both centres and all classroom and entrances are on ground level. </w:t>
      </w:r>
    </w:p>
    <w:p w:rsidR="00D0332A" w:rsidRDefault="00D0332A" w:rsidP="00D0332A">
      <w:pPr>
        <w:pStyle w:val="ListParagraph"/>
        <w:numPr>
          <w:ilvl w:val="0"/>
          <w:numId w:val="10"/>
        </w:numPr>
        <w:spacing w:after="0"/>
      </w:pPr>
      <w:r>
        <w:t xml:space="preserve">The </w:t>
      </w:r>
      <w:proofErr w:type="spellStart"/>
      <w:r>
        <w:t>SENCo</w:t>
      </w:r>
      <w:proofErr w:type="spellEnd"/>
      <w:r>
        <w:t xml:space="preserve"> office is a dedicated safe &amp; quiet space for students who require social, emotional and/or mental health intervention. </w:t>
      </w:r>
    </w:p>
    <w:p w:rsidR="001A08F2" w:rsidRDefault="001A08F2" w:rsidP="00D0332A">
      <w:pPr>
        <w:pStyle w:val="ListParagraph"/>
        <w:numPr>
          <w:ilvl w:val="0"/>
          <w:numId w:val="10"/>
        </w:numPr>
        <w:spacing w:after="0"/>
      </w:pPr>
      <w:r>
        <w:t xml:space="preserve">Students have a squad leader (tutor) as their key worker who is available throughout the day to support students when they need support. </w:t>
      </w:r>
    </w:p>
    <w:p w:rsidR="00D0332A" w:rsidRDefault="00D0332A" w:rsidP="00D0332A">
      <w:pPr>
        <w:pStyle w:val="ListParagraph"/>
        <w:numPr>
          <w:ilvl w:val="0"/>
          <w:numId w:val="10"/>
        </w:numPr>
        <w:spacing w:after="0"/>
      </w:pPr>
      <w:r>
        <w:t xml:space="preserve">All staff receive a CPD program that is specifically targeted at supporting SEND learner. The Senior Leadership Team (SLT) and </w:t>
      </w:r>
      <w:proofErr w:type="spellStart"/>
      <w:r>
        <w:t>SENCo</w:t>
      </w:r>
      <w:proofErr w:type="spellEnd"/>
      <w:r>
        <w:t xml:space="preserve"> carry out regular observation to identify any CPD and/or training needed.</w:t>
      </w:r>
    </w:p>
    <w:p w:rsidR="00270F4E" w:rsidRDefault="00270F4E" w:rsidP="00D0332A">
      <w:pPr>
        <w:pStyle w:val="ListParagraph"/>
        <w:numPr>
          <w:ilvl w:val="0"/>
          <w:numId w:val="10"/>
        </w:numPr>
        <w:spacing w:after="0"/>
      </w:pPr>
      <w:r>
        <w:t xml:space="preserve">All staff have worked with students with SEND and students with behavioural difficulties for several years and have an extensive amount of knowledge and experiences.  </w:t>
      </w:r>
    </w:p>
    <w:p w:rsidR="00D0332A" w:rsidRDefault="00F63C36" w:rsidP="00D0332A">
      <w:pPr>
        <w:pStyle w:val="ListParagraph"/>
        <w:numPr>
          <w:ilvl w:val="0"/>
          <w:numId w:val="10"/>
        </w:numPr>
        <w:spacing w:after="0"/>
      </w:pPr>
      <w:r>
        <w:t>Both provisions aim to enhance cognitive develop and grow social interaction and offer weekly outdoor activities</w:t>
      </w:r>
      <w:r w:rsidR="001A08F2">
        <w:t>/excursions</w:t>
      </w:r>
      <w:r>
        <w:t xml:space="preserve"> </w:t>
      </w:r>
      <w:r w:rsidR="00D0332A">
        <w:t xml:space="preserve">including physical and extra-curricular activities. </w:t>
      </w:r>
    </w:p>
    <w:p w:rsidR="00D0332A" w:rsidRDefault="00D0332A" w:rsidP="00D0332A">
      <w:pPr>
        <w:spacing w:after="0"/>
      </w:pPr>
    </w:p>
    <w:p w:rsidR="00D0332A" w:rsidRPr="00D0332A" w:rsidRDefault="00D0332A" w:rsidP="00D0332A">
      <w:pPr>
        <w:spacing w:after="0"/>
        <w:rPr>
          <w:u w:val="single"/>
        </w:rPr>
      </w:pPr>
      <w:r w:rsidRPr="00D0332A">
        <w:rPr>
          <w:u w:val="single"/>
        </w:rPr>
        <w:t xml:space="preserve">Legislation </w:t>
      </w:r>
    </w:p>
    <w:p w:rsidR="00D0332A" w:rsidRDefault="00D0332A" w:rsidP="00D0332A">
      <w:pPr>
        <w:spacing w:after="0"/>
      </w:pPr>
    </w:p>
    <w:p w:rsidR="00D0332A" w:rsidRDefault="00D0332A" w:rsidP="00D0332A">
      <w:pPr>
        <w:spacing w:after="0"/>
      </w:pPr>
      <w:r>
        <w:t xml:space="preserve">SEND Code of Practice, 2014 5f ‘Facilities should be able to be accessed by children and young people with SEND.’ </w:t>
      </w:r>
    </w:p>
    <w:p w:rsidR="00D0332A" w:rsidRDefault="00D0332A" w:rsidP="00D0332A">
      <w:pPr>
        <w:spacing w:after="0"/>
      </w:pPr>
      <w:r>
        <w:t xml:space="preserve">SEND Code of Practice, 2014 4.32 ‘Activities should be available to SEND children and young people including physical activities and extra-curricular activities. </w:t>
      </w:r>
    </w:p>
    <w:p w:rsidR="00C8566A" w:rsidRDefault="00D0332A" w:rsidP="00D0332A">
      <w:pPr>
        <w:spacing w:after="0"/>
      </w:pPr>
      <w:r>
        <w:t xml:space="preserve">SEND Code of </w:t>
      </w:r>
      <w:r w:rsidR="00557194">
        <w:t>Practice,</w:t>
      </w:r>
      <w:r>
        <w:t xml:space="preserve"> 2014 4.32 </w:t>
      </w:r>
      <w:r w:rsidR="00557194">
        <w:t>‘Teachers</w:t>
      </w:r>
      <w:r>
        <w:t>, lecturers or other professionals have a duty to support children and young people with SEND, this should include professional development to secure knowledge at all levels:</w:t>
      </w:r>
    </w:p>
    <w:p w:rsidR="00557194" w:rsidRDefault="00557194" w:rsidP="00557194">
      <w:pPr>
        <w:pStyle w:val="ListParagraph"/>
        <w:numPr>
          <w:ilvl w:val="0"/>
          <w:numId w:val="11"/>
        </w:numPr>
        <w:rPr>
          <w:sz w:val="24"/>
          <w:szCs w:val="24"/>
        </w:rPr>
      </w:pPr>
      <w:r>
        <w:rPr>
          <w:sz w:val="24"/>
          <w:szCs w:val="24"/>
        </w:rPr>
        <w:t>Awareness – to give basic awareness of a particular type of SEND, appropriate for all staff who will come into contact with a child or young person.</w:t>
      </w:r>
    </w:p>
    <w:p w:rsidR="00557194" w:rsidRDefault="00557194" w:rsidP="00557194">
      <w:pPr>
        <w:pStyle w:val="ListParagraph"/>
        <w:numPr>
          <w:ilvl w:val="0"/>
          <w:numId w:val="11"/>
        </w:numPr>
        <w:rPr>
          <w:sz w:val="24"/>
          <w:szCs w:val="24"/>
        </w:rPr>
      </w:pPr>
      <w:r>
        <w:rPr>
          <w:sz w:val="24"/>
          <w:szCs w:val="24"/>
        </w:rPr>
        <w:t xml:space="preserve">Enhanced – to adapt teaching and learning to meet a particular type of SEND, for early year practitioners, class and subject specialists/lecturers and teaching assistance working directly with the child or young person on a regular basis. </w:t>
      </w:r>
    </w:p>
    <w:p w:rsidR="00557194" w:rsidRPr="00475494" w:rsidRDefault="00557194" w:rsidP="00557194">
      <w:pPr>
        <w:pStyle w:val="ListParagraph"/>
        <w:numPr>
          <w:ilvl w:val="0"/>
          <w:numId w:val="11"/>
        </w:numPr>
        <w:rPr>
          <w:sz w:val="24"/>
          <w:szCs w:val="24"/>
        </w:rPr>
      </w:pPr>
      <w:r>
        <w:rPr>
          <w:sz w:val="24"/>
          <w:szCs w:val="24"/>
        </w:rPr>
        <w:t xml:space="preserve">Specialist – in-depth training about a particular type of SEND, for staff who will be advising and supporting those with enhanced-level skills and knowledge. </w:t>
      </w:r>
    </w:p>
    <w:p w:rsidR="00557194" w:rsidRDefault="00557194" w:rsidP="00D0332A">
      <w:pPr>
        <w:spacing w:after="0"/>
      </w:pPr>
    </w:p>
    <w:p w:rsidR="00664D6E" w:rsidRDefault="00664D6E" w:rsidP="00664D6E">
      <w:pPr>
        <w:spacing w:after="0"/>
      </w:pPr>
    </w:p>
    <w:p w:rsidR="0027232B" w:rsidRPr="0027232B" w:rsidRDefault="0027232B" w:rsidP="0027232B">
      <w:pPr>
        <w:spacing w:after="0"/>
        <w:rPr>
          <w:u w:val="single"/>
        </w:rPr>
      </w:pPr>
      <w:r w:rsidRPr="0027232B">
        <w:rPr>
          <w:u w:val="single"/>
        </w:rPr>
        <w:t>Moving school, year or leaving school</w:t>
      </w:r>
    </w:p>
    <w:p w:rsidR="0027232B" w:rsidRDefault="0027232B" w:rsidP="0027232B">
      <w:pPr>
        <w:spacing w:after="0"/>
      </w:pPr>
    </w:p>
    <w:p w:rsidR="0027232B" w:rsidRDefault="0027232B" w:rsidP="0027232B">
      <w:pPr>
        <w:spacing w:after="0"/>
      </w:pPr>
      <w:r>
        <w:t xml:space="preserve">There are many instances of transition in secondary school life, entering secondary school, moving school, transition from one year to the next, moving to and alternative provision and finally leaving secondary school to further education. At each stage we support the SEND learners by gathering evidence either from the feeder school or from previous teachers/school </w:t>
      </w:r>
      <w:r w:rsidR="00E57C5D">
        <w:t xml:space="preserve">through passports and meetings </w:t>
      </w:r>
      <w:r>
        <w:t xml:space="preserve">so we have as much information as possible to us prepare to support the student at any/all levels of transition. Extensive liaison work is carried out with prospective providers or feeder schools to ensure the support is in place and starts immediately. </w:t>
      </w:r>
    </w:p>
    <w:p w:rsidR="00E57C5D" w:rsidRDefault="00E57C5D" w:rsidP="0027232B">
      <w:pPr>
        <w:spacing w:after="0"/>
      </w:pPr>
    </w:p>
    <w:p w:rsidR="00E57C5D" w:rsidRDefault="0027232B" w:rsidP="00E57C5D">
      <w:pPr>
        <w:pStyle w:val="ListParagraph"/>
        <w:numPr>
          <w:ilvl w:val="0"/>
          <w:numId w:val="10"/>
        </w:numPr>
        <w:spacing w:after="0"/>
      </w:pPr>
      <w:r>
        <w:t xml:space="preserve">From receiving an admission </w:t>
      </w:r>
      <w:r w:rsidR="00E57C5D">
        <w:t>application,</w:t>
      </w:r>
      <w:r>
        <w:t xml:space="preserve"> we contact </w:t>
      </w:r>
      <w:r w:rsidR="00E57C5D">
        <w:t>the school</w:t>
      </w:r>
      <w:r>
        <w:t xml:space="preserve"> to invite them to meet with us and gather information </w:t>
      </w:r>
      <w:r w:rsidR="00E57C5D">
        <w:t>on the student</w:t>
      </w:r>
      <w:r>
        <w:t>.</w:t>
      </w:r>
    </w:p>
    <w:p w:rsidR="0027232B" w:rsidRDefault="00E57C5D" w:rsidP="00E57C5D">
      <w:pPr>
        <w:pStyle w:val="ListParagraph"/>
        <w:numPr>
          <w:ilvl w:val="0"/>
          <w:numId w:val="10"/>
        </w:numPr>
        <w:spacing w:after="0"/>
      </w:pPr>
      <w:r>
        <w:t>If the AP can meet the needs of the child the school will be asked to complete a passport</w:t>
      </w:r>
      <w:r w:rsidR="0027232B">
        <w:t xml:space="preserve"> </w:t>
      </w:r>
      <w:r>
        <w:t xml:space="preserve">that outlines the key information and background information such as exclusion, safeguarding concerns and SEND etc.  </w:t>
      </w:r>
    </w:p>
    <w:p w:rsidR="00E57C5D" w:rsidRDefault="00E57C5D" w:rsidP="00E57C5D">
      <w:pPr>
        <w:pStyle w:val="ListParagraph"/>
        <w:numPr>
          <w:ilvl w:val="0"/>
          <w:numId w:val="10"/>
        </w:numPr>
        <w:spacing w:after="0"/>
      </w:pPr>
      <w:r>
        <w:t>The AP will then ask the parents/careers and the students to attend a meeting to discuss the transfer in more detail.</w:t>
      </w:r>
    </w:p>
    <w:p w:rsidR="00E57C5D" w:rsidRDefault="00E57C5D" w:rsidP="00E57C5D">
      <w:pPr>
        <w:pStyle w:val="ListParagraph"/>
        <w:numPr>
          <w:ilvl w:val="0"/>
          <w:numId w:val="10"/>
        </w:numPr>
        <w:spacing w:after="0"/>
      </w:pPr>
      <w:r>
        <w:t xml:space="preserve">The leaders and </w:t>
      </w:r>
      <w:proofErr w:type="spellStart"/>
      <w:r>
        <w:t>SENCo</w:t>
      </w:r>
      <w:proofErr w:type="spellEnd"/>
      <w:r>
        <w:t xml:space="preserve"> will then discuss the students </w:t>
      </w:r>
      <w:r w:rsidR="007138B0">
        <w:t>need(s)</w:t>
      </w:r>
      <w:r>
        <w:t xml:space="preserve"> and decide which</w:t>
      </w:r>
      <w:r w:rsidR="007138B0">
        <w:t xml:space="preserve"> </w:t>
      </w:r>
      <w:r>
        <w:t>provision they would be more</w:t>
      </w:r>
      <w:r w:rsidR="007138B0">
        <w:t xml:space="preserve"> </w:t>
      </w:r>
      <w:r>
        <w:t xml:space="preserve">suited to – Greenhill or Revive. </w:t>
      </w:r>
    </w:p>
    <w:p w:rsidR="0027232B" w:rsidRDefault="0027232B" w:rsidP="00E57C5D">
      <w:pPr>
        <w:pStyle w:val="ListParagraph"/>
        <w:numPr>
          <w:ilvl w:val="0"/>
          <w:numId w:val="10"/>
        </w:numPr>
        <w:spacing w:after="0"/>
      </w:pPr>
      <w:r>
        <w:t xml:space="preserve">The </w:t>
      </w:r>
      <w:r w:rsidR="00E57C5D">
        <w:t>student</w:t>
      </w:r>
      <w:r>
        <w:t xml:space="preserve"> will be offered a taster session where they can have a look around the </w:t>
      </w:r>
      <w:r w:rsidR="00E57C5D">
        <w:t>AP</w:t>
      </w:r>
      <w:r>
        <w:t xml:space="preserve"> and meet the </w:t>
      </w:r>
      <w:r w:rsidR="00E57C5D">
        <w:t>whole</w:t>
      </w:r>
      <w:r>
        <w:t xml:space="preserve"> team. </w:t>
      </w:r>
    </w:p>
    <w:p w:rsidR="0027232B" w:rsidRDefault="0027232B" w:rsidP="00E57C5D">
      <w:pPr>
        <w:pStyle w:val="ListParagraph"/>
        <w:numPr>
          <w:ilvl w:val="0"/>
          <w:numId w:val="10"/>
        </w:numPr>
        <w:spacing w:after="0"/>
      </w:pPr>
      <w:r>
        <w:t xml:space="preserve"> </w:t>
      </w:r>
      <w:r w:rsidR="007138B0">
        <w:t xml:space="preserve">If the student was identified as SEND in the previous school, (the </w:t>
      </w:r>
      <w:proofErr w:type="spellStart"/>
      <w:r w:rsidR="007138B0">
        <w:t>SENCo</w:t>
      </w:r>
      <w:proofErr w:type="spellEnd"/>
      <w:r w:rsidR="007138B0">
        <w:t xml:space="preserve"> will contact the school for details if they have not been provided on the passport) an individual </w:t>
      </w:r>
      <w:r>
        <w:t xml:space="preserve">learning plan </w:t>
      </w:r>
      <w:r w:rsidR="007138B0">
        <w:t>will</w:t>
      </w:r>
      <w:r>
        <w:t xml:space="preserve"> then</w:t>
      </w:r>
      <w:r w:rsidR="007138B0">
        <w:t xml:space="preserve"> be</w:t>
      </w:r>
      <w:r>
        <w:t xml:space="preserve"> created from the information we have gathered, this will be issued to the all staff in the </w:t>
      </w:r>
      <w:r w:rsidR="007138B0">
        <w:t>AP</w:t>
      </w:r>
      <w:r>
        <w:t xml:space="preserve"> before the student arrives on their first day.  </w:t>
      </w:r>
    </w:p>
    <w:p w:rsidR="0027232B" w:rsidRDefault="0027232B" w:rsidP="00E57C5D">
      <w:pPr>
        <w:pStyle w:val="ListParagraph"/>
        <w:numPr>
          <w:ilvl w:val="0"/>
          <w:numId w:val="10"/>
        </w:numPr>
        <w:spacing w:after="0"/>
      </w:pPr>
      <w:r>
        <w:t xml:space="preserve">We will ensure they are introduced to a ‘buddy’ to help them settle into the </w:t>
      </w:r>
      <w:r w:rsidR="007138B0">
        <w:t>AP and their squad leader who will be their ‘tutor/mentor’</w:t>
      </w:r>
      <w:r>
        <w:t xml:space="preserve">. </w:t>
      </w:r>
    </w:p>
    <w:p w:rsidR="007138B0" w:rsidRDefault="007138B0" w:rsidP="00E57C5D">
      <w:pPr>
        <w:pStyle w:val="ListParagraph"/>
        <w:numPr>
          <w:ilvl w:val="0"/>
          <w:numId w:val="10"/>
        </w:numPr>
        <w:spacing w:after="0"/>
      </w:pPr>
      <w:r>
        <w:t xml:space="preserve">Year 11 students will receive careers guidance and support and will have assistance completing application for colleges, training opportunities and apprentices. </w:t>
      </w:r>
    </w:p>
    <w:p w:rsidR="007138B0" w:rsidRDefault="007138B0" w:rsidP="00E57C5D">
      <w:pPr>
        <w:pStyle w:val="ListParagraph"/>
        <w:numPr>
          <w:ilvl w:val="0"/>
          <w:numId w:val="10"/>
        </w:numPr>
        <w:spacing w:after="0"/>
      </w:pPr>
      <w:r>
        <w:t xml:space="preserve">Year 11 will also receive the opportunity to part-take in work experience.   </w:t>
      </w:r>
    </w:p>
    <w:p w:rsidR="00E57C5D" w:rsidRDefault="00E57C5D" w:rsidP="00E57C5D">
      <w:pPr>
        <w:pStyle w:val="ListParagraph"/>
        <w:spacing w:after="0"/>
        <w:ind w:left="1800"/>
      </w:pPr>
    </w:p>
    <w:p w:rsidR="00E57C5D" w:rsidRDefault="00E57C5D" w:rsidP="00E57C5D">
      <w:pPr>
        <w:pStyle w:val="ListParagraph"/>
        <w:spacing w:after="0"/>
        <w:ind w:left="1800"/>
      </w:pPr>
    </w:p>
    <w:p w:rsidR="0027232B" w:rsidRDefault="0027232B" w:rsidP="0027232B">
      <w:pPr>
        <w:spacing w:after="0"/>
        <w:rPr>
          <w:u w:val="single"/>
        </w:rPr>
      </w:pPr>
      <w:r w:rsidRPr="00E57C5D">
        <w:rPr>
          <w:u w:val="single"/>
        </w:rPr>
        <w:t xml:space="preserve">Legislation </w:t>
      </w:r>
    </w:p>
    <w:p w:rsidR="00E57C5D" w:rsidRPr="00E57C5D" w:rsidRDefault="00E57C5D" w:rsidP="0027232B">
      <w:pPr>
        <w:spacing w:after="0"/>
        <w:rPr>
          <w:u w:val="single"/>
        </w:rPr>
      </w:pPr>
    </w:p>
    <w:p w:rsidR="00664D6E" w:rsidRDefault="0027232B" w:rsidP="0027232B">
      <w:pPr>
        <w:spacing w:after="0"/>
      </w:pPr>
      <w:r>
        <w:t>SEND Code of Practice, 2014 4.32 ‘Providers have a legal obligation to support SEND children and young people moving between phases of education and/or preparing for adulthood and independent living’.</w:t>
      </w:r>
    </w:p>
    <w:p w:rsidR="004C7BB9" w:rsidRDefault="004C7BB9" w:rsidP="0027232B">
      <w:pPr>
        <w:spacing w:after="0"/>
      </w:pPr>
    </w:p>
    <w:p w:rsidR="004C7BB9" w:rsidRDefault="004C7BB9" w:rsidP="0027232B">
      <w:pPr>
        <w:spacing w:after="0"/>
      </w:pPr>
      <w:r>
        <w:t xml:space="preserve">Both Greenhill and Revive Alternative Provision </w:t>
      </w:r>
      <w:r w:rsidR="00D863C0">
        <w:t>aim</w:t>
      </w:r>
      <w:r>
        <w:t xml:space="preserve"> to provide the</w:t>
      </w:r>
      <w:r w:rsidR="00D863C0">
        <w:t xml:space="preserve"> most effective and appropriate support to students. However, if you are concerned about the level of support a child is receiving please contact </w:t>
      </w:r>
      <w:r>
        <w:t xml:space="preserve">  </w:t>
      </w:r>
      <w:r w:rsidR="00D863C0">
        <w:t>Chris Bennett – Director of Alternative Provision -</w:t>
      </w:r>
      <w:r w:rsidR="00D863C0" w:rsidRPr="00D863C0">
        <w:t xml:space="preserve"> </w:t>
      </w:r>
      <w:hyperlink r:id="rId7" w:history="1">
        <w:r w:rsidR="00D863C0" w:rsidRPr="000D0FAD">
          <w:rPr>
            <w:rStyle w:val="Hyperlink"/>
          </w:rPr>
          <w:t>cbennett1@leasowes.dudley.sch.uk</w:t>
        </w:r>
      </w:hyperlink>
      <w:r w:rsidR="00D863C0">
        <w:t xml:space="preserve"> or Gemma Hunt – </w:t>
      </w:r>
      <w:proofErr w:type="spellStart"/>
      <w:r w:rsidR="00D863C0">
        <w:t>SENCo</w:t>
      </w:r>
      <w:proofErr w:type="spellEnd"/>
      <w:r w:rsidR="00D863C0">
        <w:t xml:space="preserve">-  </w:t>
      </w:r>
      <w:bookmarkStart w:id="0" w:name="_GoBack"/>
      <w:bookmarkEnd w:id="0"/>
      <w:r w:rsidR="00495EFF">
        <w:fldChar w:fldCharType="begin"/>
      </w:r>
      <w:r w:rsidR="00495EFF">
        <w:instrText xml:space="preserve"> HYPERLINK "mailto:</w:instrText>
      </w:r>
      <w:r w:rsidR="00495EFF" w:rsidRPr="00495EFF">
        <w:instrText>ghunt@leasowes.dudley.sch.uk</w:instrText>
      </w:r>
      <w:r w:rsidR="00495EFF">
        <w:instrText xml:space="preserve">" </w:instrText>
      </w:r>
      <w:r w:rsidR="00495EFF">
        <w:fldChar w:fldCharType="separate"/>
      </w:r>
      <w:r w:rsidR="00495EFF" w:rsidRPr="000D0FAD">
        <w:rPr>
          <w:rStyle w:val="Hyperlink"/>
        </w:rPr>
        <w:t>ghunt@leasowes.dudley.sch.uk</w:t>
      </w:r>
      <w:r w:rsidR="00495EFF">
        <w:fldChar w:fldCharType="end"/>
      </w:r>
      <w:r w:rsidR="00D863C0">
        <w:t xml:space="preserve"> </w:t>
      </w:r>
    </w:p>
    <w:sectPr w:rsidR="004C7BB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BB9" w:rsidRDefault="004C7BB9" w:rsidP="00BF5DC7">
      <w:pPr>
        <w:spacing w:after="0" w:line="240" w:lineRule="auto"/>
      </w:pPr>
      <w:r>
        <w:separator/>
      </w:r>
    </w:p>
  </w:endnote>
  <w:endnote w:type="continuationSeparator" w:id="0">
    <w:p w:rsidR="004C7BB9" w:rsidRDefault="004C7BB9" w:rsidP="00BF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BB9" w:rsidRDefault="004C7BB9" w:rsidP="00BF5DC7">
      <w:pPr>
        <w:spacing w:after="0" w:line="240" w:lineRule="auto"/>
      </w:pPr>
      <w:r>
        <w:separator/>
      </w:r>
    </w:p>
  </w:footnote>
  <w:footnote w:type="continuationSeparator" w:id="0">
    <w:p w:rsidR="004C7BB9" w:rsidRDefault="004C7BB9" w:rsidP="00BF5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BB9" w:rsidRPr="00BF5DC7" w:rsidRDefault="004C7BB9">
    <w:pPr>
      <w:pStyle w:val="Header"/>
      <w:rPr>
        <w:u w:val="single"/>
      </w:rPr>
    </w:pPr>
    <w:r>
      <w:rPr>
        <w:noProof/>
      </w:rPr>
      <w:drawing>
        <wp:anchor distT="0" distB="0" distL="114300" distR="114300" simplePos="0" relativeHeight="251659264" behindDoc="1" locked="0" layoutInCell="1" allowOverlap="1" wp14:anchorId="4FB7C27A">
          <wp:simplePos x="0" y="0"/>
          <wp:positionH relativeFrom="column">
            <wp:posOffset>5295900</wp:posOffset>
          </wp:positionH>
          <wp:positionV relativeFrom="paragraph">
            <wp:posOffset>-392430</wp:posOffset>
          </wp:positionV>
          <wp:extent cx="1036320" cy="743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43585"/>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2344B90A">
          <wp:simplePos x="0" y="0"/>
          <wp:positionH relativeFrom="column">
            <wp:posOffset>-752475</wp:posOffset>
          </wp:positionH>
          <wp:positionV relativeFrom="paragraph">
            <wp:posOffset>-316230</wp:posOffset>
          </wp:positionV>
          <wp:extent cx="1579245" cy="136588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245" cy="1365885"/>
                  </a:xfrm>
                  <a:prstGeom prst="rect">
                    <a:avLst/>
                  </a:prstGeom>
                  <a:noFill/>
                </pic:spPr>
              </pic:pic>
            </a:graphicData>
          </a:graphic>
        </wp:anchor>
      </w:drawing>
    </w:r>
    <w:r>
      <w:tab/>
    </w:r>
    <w:r w:rsidRPr="00BF5DC7">
      <w:rPr>
        <w:sz w:val="28"/>
        <w:u w:val="single"/>
      </w:rPr>
      <w:t>School Information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68"/>
    <w:multiLevelType w:val="hybridMultilevel"/>
    <w:tmpl w:val="0B90027E"/>
    <w:lvl w:ilvl="0" w:tplc="68F27B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53A9"/>
    <w:multiLevelType w:val="hybridMultilevel"/>
    <w:tmpl w:val="A19C8104"/>
    <w:lvl w:ilvl="0" w:tplc="E130B28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C2911"/>
    <w:multiLevelType w:val="hybridMultilevel"/>
    <w:tmpl w:val="AD40E10E"/>
    <w:lvl w:ilvl="0" w:tplc="68F27B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F5217"/>
    <w:multiLevelType w:val="hybridMultilevel"/>
    <w:tmpl w:val="1464A72C"/>
    <w:lvl w:ilvl="0" w:tplc="E130B282">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FD6B4B"/>
    <w:multiLevelType w:val="hybridMultilevel"/>
    <w:tmpl w:val="D47E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A4E9A"/>
    <w:multiLevelType w:val="hybridMultilevel"/>
    <w:tmpl w:val="443ADCAA"/>
    <w:lvl w:ilvl="0" w:tplc="68F27B9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AE1D40"/>
    <w:multiLevelType w:val="hybridMultilevel"/>
    <w:tmpl w:val="C882A8F2"/>
    <w:lvl w:ilvl="0" w:tplc="E130B282">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2B373B"/>
    <w:multiLevelType w:val="hybridMultilevel"/>
    <w:tmpl w:val="2254509C"/>
    <w:lvl w:ilvl="0" w:tplc="E130B282">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A907BB"/>
    <w:multiLevelType w:val="hybridMultilevel"/>
    <w:tmpl w:val="68CE05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1A102F8"/>
    <w:multiLevelType w:val="hybridMultilevel"/>
    <w:tmpl w:val="0EE6D12C"/>
    <w:lvl w:ilvl="0" w:tplc="E130B28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D5E36"/>
    <w:multiLevelType w:val="hybridMultilevel"/>
    <w:tmpl w:val="73A878F0"/>
    <w:lvl w:ilvl="0" w:tplc="E130B28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2C7291"/>
    <w:multiLevelType w:val="hybridMultilevel"/>
    <w:tmpl w:val="7890AD5A"/>
    <w:lvl w:ilvl="0" w:tplc="E130B28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2"/>
  </w:num>
  <w:num w:numId="8">
    <w:abstractNumId w:val="5"/>
  </w:num>
  <w:num w:numId="9">
    <w:abstractNumId w:val="0"/>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C7"/>
    <w:rsid w:val="001A08F2"/>
    <w:rsid w:val="00270F4E"/>
    <w:rsid w:val="0027232B"/>
    <w:rsid w:val="00384AC9"/>
    <w:rsid w:val="003C13F4"/>
    <w:rsid w:val="00426D88"/>
    <w:rsid w:val="00453CB1"/>
    <w:rsid w:val="00495EFF"/>
    <w:rsid w:val="004C7BB9"/>
    <w:rsid w:val="00557194"/>
    <w:rsid w:val="00664D6E"/>
    <w:rsid w:val="00676995"/>
    <w:rsid w:val="006D6660"/>
    <w:rsid w:val="007138B0"/>
    <w:rsid w:val="00760173"/>
    <w:rsid w:val="00BF5DC7"/>
    <w:rsid w:val="00C8566A"/>
    <w:rsid w:val="00D0332A"/>
    <w:rsid w:val="00D863C0"/>
    <w:rsid w:val="00E435F8"/>
    <w:rsid w:val="00E57C5D"/>
    <w:rsid w:val="00F42E92"/>
    <w:rsid w:val="00F63C36"/>
    <w:rsid w:val="00FD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009699"/>
  <w15:chartTrackingRefBased/>
  <w15:docId w15:val="{AF98F127-5EA1-4393-A910-BDDDA64D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DC7"/>
  </w:style>
  <w:style w:type="paragraph" w:styleId="Footer">
    <w:name w:val="footer"/>
    <w:basedOn w:val="Normal"/>
    <w:link w:val="FooterChar"/>
    <w:uiPriority w:val="99"/>
    <w:unhideWhenUsed/>
    <w:rsid w:val="00BF5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DC7"/>
  </w:style>
  <w:style w:type="paragraph" w:styleId="ListParagraph">
    <w:name w:val="List Paragraph"/>
    <w:basedOn w:val="Normal"/>
    <w:uiPriority w:val="34"/>
    <w:qFormat/>
    <w:rsid w:val="00E435F8"/>
    <w:pPr>
      <w:ind w:left="720"/>
      <w:contextualSpacing/>
    </w:pPr>
  </w:style>
  <w:style w:type="character" w:styleId="Hyperlink">
    <w:name w:val="Hyperlink"/>
    <w:basedOn w:val="DefaultParagraphFont"/>
    <w:uiPriority w:val="99"/>
    <w:unhideWhenUsed/>
    <w:rsid w:val="00D863C0"/>
    <w:rPr>
      <w:color w:val="0563C1" w:themeColor="hyperlink"/>
      <w:u w:val="single"/>
    </w:rPr>
  </w:style>
  <w:style w:type="character" w:styleId="UnresolvedMention">
    <w:name w:val="Unresolved Mention"/>
    <w:basedOn w:val="DefaultParagraphFont"/>
    <w:uiPriority w:val="99"/>
    <w:semiHidden/>
    <w:unhideWhenUsed/>
    <w:rsid w:val="00D86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bennett1@leasowes.dud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Invictus Education Trust</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Hunt</dc:creator>
  <cp:keywords/>
  <dc:description/>
  <cp:lastModifiedBy>Mrs G Hunt</cp:lastModifiedBy>
  <cp:revision>15</cp:revision>
  <dcterms:created xsi:type="dcterms:W3CDTF">2022-07-12T08:47:00Z</dcterms:created>
  <dcterms:modified xsi:type="dcterms:W3CDTF">2022-07-12T10:33:00Z</dcterms:modified>
</cp:coreProperties>
</file>